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0DC6FDAE"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p>
    <w:p w14:paraId="3A8F1669" w14:textId="77777777" w:rsidR="009A46B9" w:rsidRDefault="009A46B9">
      <w:pPr>
        <w:jc w:val="both"/>
        <w:outlineLvl w:val="0"/>
        <w:rPr>
          <w:rFonts w:ascii="Calibri" w:eastAsia="Calibri" w:hAnsi="Calibri" w:cs="Arial"/>
          <w:b/>
          <w:sz w:val="28"/>
          <w:szCs w:val="28"/>
          <w:lang w:eastAsia="en-US"/>
        </w:rPr>
      </w:pPr>
    </w:p>
    <w:p w14:paraId="64D29B49" w14:textId="286AA0AB"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1AEB8311" w:rsidR="008E6418" w:rsidRPr="006D4E7F" w:rsidRDefault="006D4E7F" w:rsidP="008449BE">
      <w:pPr>
        <w:pStyle w:val="Nadpis8"/>
        <w:shd w:val="clear" w:color="auto" w:fill="FFD966"/>
      </w:pPr>
      <w:r w:rsidRPr="006D4E7F">
        <w:t>Expertní kolposkop</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8449B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Default="008449BE" w:rsidP="008449BE">
      <w:pPr>
        <w:pStyle w:val="Zkladntext2"/>
        <w:rPr>
          <w:rFonts w:ascii="Calibri" w:hAnsi="Calibri" w:cs="Arial"/>
          <w:sz w:val="22"/>
          <w:szCs w:val="22"/>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29E9FB40" w14:textId="77777777" w:rsidR="00621075" w:rsidRDefault="00621075" w:rsidP="00621075">
      <w:pPr>
        <w:rPr>
          <w:lang w:eastAsia="en-US"/>
        </w:rPr>
      </w:pPr>
    </w:p>
    <w:p w14:paraId="73908BFE" w14:textId="77777777" w:rsidR="006D4E7F" w:rsidRDefault="006D4E7F" w:rsidP="00621075">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5D05B4" w:rsidRPr="005D05B4" w14:paraId="6C62A208" w14:textId="77777777" w:rsidTr="00FE025A">
        <w:trPr>
          <w:trHeight w:val="387"/>
        </w:trPr>
        <w:tc>
          <w:tcPr>
            <w:tcW w:w="4640" w:type="dxa"/>
            <w:shd w:val="clear" w:color="auto" w:fill="BDD6EE" w:themeFill="accent1" w:themeFillTint="66"/>
            <w:vAlign w:val="center"/>
          </w:tcPr>
          <w:p w14:paraId="246FFA7C" w14:textId="77777777" w:rsidR="005D05B4" w:rsidRPr="005D05B4" w:rsidRDefault="005D05B4" w:rsidP="005D05B4">
            <w:pPr>
              <w:rPr>
                <w:rFonts w:asciiTheme="minorHAnsi" w:hAnsiTheme="minorHAnsi"/>
                <w:b/>
                <w:sz w:val="28"/>
                <w:szCs w:val="28"/>
              </w:rPr>
            </w:pPr>
            <w:bookmarkStart w:id="0" w:name="_Hlk162420684"/>
            <w:r w:rsidRPr="005D05B4">
              <w:rPr>
                <w:rFonts w:asciiTheme="minorHAnsi" w:hAnsiTheme="minorHAnsi"/>
                <w:b/>
                <w:sz w:val="28"/>
                <w:szCs w:val="28"/>
              </w:rPr>
              <w:t>Položka ve</w:t>
            </w:r>
            <w:r w:rsidRPr="005D05B4">
              <w:rPr>
                <w:rFonts w:asciiTheme="minorHAnsi" w:hAnsiTheme="minorHAnsi"/>
                <w:b/>
                <w:bCs/>
                <w:sz w:val="28"/>
                <w:szCs w:val="28"/>
              </w:rPr>
              <w:t xml:space="preserve">řejné </w:t>
            </w:r>
            <w:r w:rsidRPr="005D05B4">
              <w:rPr>
                <w:rFonts w:asciiTheme="minorHAnsi" w:hAnsiTheme="minorHAnsi"/>
                <w:b/>
                <w:sz w:val="28"/>
                <w:szCs w:val="28"/>
              </w:rPr>
              <w:t>zakázky</w:t>
            </w:r>
          </w:p>
        </w:tc>
        <w:tc>
          <w:tcPr>
            <w:tcW w:w="4993" w:type="dxa"/>
            <w:gridSpan w:val="2"/>
            <w:shd w:val="clear" w:color="auto" w:fill="BDD6EE" w:themeFill="accent1" w:themeFillTint="66"/>
            <w:vAlign w:val="center"/>
          </w:tcPr>
          <w:p w14:paraId="76E939FD" w14:textId="6269A19A" w:rsidR="005D05B4" w:rsidRPr="005D05B4" w:rsidRDefault="005D05B4" w:rsidP="005D05B4">
            <w:pPr>
              <w:rPr>
                <w:rFonts w:asciiTheme="minorHAnsi" w:hAnsiTheme="minorHAnsi"/>
                <w:b/>
                <w:bCs/>
                <w:sz w:val="28"/>
                <w:szCs w:val="28"/>
              </w:rPr>
            </w:pPr>
            <w:r w:rsidRPr="005D05B4">
              <w:rPr>
                <w:rFonts w:asciiTheme="minorHAnsi" w:hAnsiTheme="minorHAnsi"/>
                <w:b/>
                <w:bCs/>
                <w:sz w:val="28"/>
                <w:szCs w:val="28"/>
              </w:rPr>
              <w:t>Expertní kolposkop – 1</w:t>
            </w:r>
            <w:r w:rsidR="009E0DC5">
              <w:rPr>
                <w:rFonts w:asciiTheme="minorHAnsi" w:hAnsiTheme="minorHAnsi"/>
                <w:b/>
                <w:bCs/>
                <w:sz w:val="28"/>
                <w:szCs w:val="28"/>
              </w:rPr>
              <w:t xml:space="preserve"> </w:t>
            </w:r>
            <w:r w:rsidRPr="005D05B4">
              <w:rPr>
                <w:rFonts w:asciiTheme="minorHAnsi" w:hAnsiTheme="minorHAnsi"/>
                <w:b/>
                <w:bCs/>
                <w:sz w:val="28"/>
                <w:szCs w:val="28"/>
              </w:rPr>
              <w:t>ks</w:t>
            </w:r>
          </w:p>
        </w:tc>
      </w:tr>
      <w:tr w:rsidR="005D05B4" w:rsidRPr="005D05B4" w14:paraId="6C5CBA0F" w14:textId="77777777" w:rsidTr="00FE025A">
        <w:tc>
          <w:tcPr>
            <w:tcW w:w="4640" w:type="dxa"/>
            <w:shd w:val="clear" w:color="auto" w:fill="F7CAAC" w:themeFill="accent2" w:themeFillTint="66"/>
          </w:tcPr>
          <w:p w14:paraId="1EEF0851" w14:textId="77777777" w:rsidR="005D05B4" w:rsidRPr="005D05B4" w:rsidRDefault="005D05B4" w:rsidP="005D05B4">
            <w:pPr>
              <w:keepNext/>
              <w:outlineLvl w:val="5"/>
              <w:rPr>
                <w:rFonts w:asciiTheme="minorHAnsi" w:hAnsiTheme="minorHAnsi"/>
                <w:b/>
                <w:sz w:val="22"/>
              </w:rPr>
            </w:pPr>
            <w:r w:rsidRPr="005D05B4">
              <w:rPr>
                <w:rFonts w:ascii="Calibri" w:hAnsi="Calibri"/>
                <w:b/>
                <w:sz w:val="22"/>
              </w:rPr>
              <w:t>Závazné charakteristiky a požadavky</w:t>
            </w:r>
          </w:p>
        </w:tc>
        <w:tc>
          <w:tcPr>
            <w:tcW w:w="1203" w:type="dxa"/>
            <w:shd w:val="clear" w:color="auto" w:fill="F7CAAC" w:themeFill="accent2" w:themeFillTint="66"/>
          </w:tcPr>
          <w:p w14:paraId="531EC532" w14:textId="77777777" w:rsidR="005D05B4" w:rsidRPr="005D05B4" w:rsidRDefault="005D05B4" w:rsidP="005D05B4">
            <w:pPr>
              <w:rPr>
                <w:rFonts w:asciiTheme="minorHAnsi" w:hAnsiTheme="minorHAnsi"/>
                <w:b/>
                <w:sz w:val="22"/>
              </w:rPr>
            </w:pPr>
            <w:r w:rsidRPr="005D05B4">
              <w:rPr>
                <w:rFonts w:asciiTheme="minorHAnsi" w:hAnsiTheme="minorHAnsi"/>
                <w:b/>
                <w:sz w:val="22"/>
              </w:rPr>
              <w:t>Splnění požadavku ANO/NE</w:t>
            </w:r>
          </w:p>
        </w:tc>
        <w:tc>
          <w:tcPr>
            <w:tcW w:w="3790" w:type="dxa"/>
            <w:shd w:val="clear" w:color="auto" w:fill="F7CAAC" w:themeFill="accent2" w:themeFillTint="66"/>
          </w:tcPr>
          <w:p w14:paraId="5E7FEABA" w14:textId="77777777" w:rsidR="005D05B4" w:rsidRPr="005D05B4" w:rsidRDefault="005D05B4" w:rsidP="005D05B4">
            <w:pPr>
              <w:rPr>
                <w:rFonts w:asciiTheme="minorHAnsi" w:hAnsiTheme="minorHAnsi"/>
                <w:b/>
                <w:sz w:val="22"/>
              </w:rPr>
            </w:pPr>
            <w:r w:rsidRPr="005D05B4">
              <w:rPr>
                <w:rFonts w:asciiTheme="minorHAnsi" w:hAnsiTheme="minorHAnsi"/>
                <w:b/>
                <w:sz w:val="22"/>
              </w:rPr>
              <w:t>Popis specifikace nabízeného plnění, ze kterého bude vyplývat splnění požadavků stanovených zadavatelem, možno uvést odkaz na stránku v nabídce.</w:t>
            </w:r>
          </w:p>
        </w:tc>
      </w:tr>
      <w:tr w:rsidR="005D05B4" w:rsidRPr="005D05B4" w14:paraId="3C03EB44" w14:textId="77777777" w:rsidTr="009E0DC5">
        <w:trPr>
          <w:trHeight w:val="683"/>
        </w:trPr>
        <w:tc>
          <w:tcPr>
            <w:tcW w:w="4640" w:type="dxa"/>
            <w:shd w:val="clear" w:color="auto" w:fill="auto"/>
            <w:vAlign w:val="center"/>
          </w:tcPr>
          <w:p w14:paraId="3C5ABF25" w14:textId="77777777" w:rsidR="005D05B4" w:rsidRPr="005D05B4" w:rsidRDefault="005D05B4" w:rsidP="005D05B4">
            <w:pPr>
              <w:autoSpaceDE w:val="0"/>
              <w:autoSpaceDN w:val="0"/>
              <w:adjustRightInd w:val="0"/>
              <w:ind w:right="-993"/>
              <w:rPr>
                <w:rFonts w:ascii="Tahoma" w:hAnsi="Tahoma" w:cs="Tahoma"/>
                <w:szCs w:val="20"/>
              </w:rPr>
            </w:pPr>
            <w:r w:rsidRPr="005D05B4">
              <w:rPr>
                <w:rFonts w:ascii="Tahoma" w:hAnsi="Tahoma" w:cs="Tahoma"/>
                <w:szCs w:val="20"/>
              </w:rPr>
              <w:t xml:space="preserve">Kolposkop expertní k diagnostice a dispenzarizaci </w:t>
            </w:r>
          </w:p>
          <w:p w14:paraId="0063C54A" w14:textId="77777777" w:rsidR="005D05B4" w:rsidRPr="005D05B4" w:rsidRDefault="005D05B4" w:rsidP="005D05B4">
            <w:pPr>
              <w:autoSpaceDE w:val="0"/>
              <w:autoSpaceDN w:val="0"/>
              <w:adjustRightInd w:val="0"/>
              <w:ind w:right="-993"/>
              <w:rPr>
                <w:rFonts w:ascii="Tahoma" w:hAnsi="Tahoma" w:cs="Tahoma"/>
                <w:szCs w:val="20"/>
              </w:rPr>
            </w:pPr>
            <w:r w:rsidRPr="005D05B4">
              <w:rPr>
                <w:rFonts w:ascii="Tahoma" w:hAnsi="Tahoma" w:cs="Tahoma"/>
                <w:szCs w:val="20"/>
              </w:rPr>
              <w:t xml:space="preserve">benigních, </w:t>
            </w:r>
            <w:proofErr w:type="spellStart"/>
            <w:r w:rsidRPr="005D05B4">
              <w:rPr>
                <w:rFonts w:ascii="Tahoma" w:hAnsi="Tahoma" w:cs="Tahoma"/>
                <w:szCs w:val="20"/>
              </w:rPr>
              <w:t>přednádorových</w:t>
            </w:r>
            <w:proofErr w:type="spellEnd"/>
            <w:r w:rsidRPr="005D05B4">
              <w:rPr>
                <w:rFonts w:ascii="Tahoma" w:hAnsi="Tahoma" w:cs="Tahoma"/>
                <w:szCs w:val="20"/>
              </w:rPr>
              <w:t xml:space="preserve"> a nádorových změn na děložním čípku</w:t>
            </w:r>
          </w:p>
        </w:tc>
        <w:tc>
          <w:tcPr>
            <w:tcW w:w="1203" w:type="dxa"/>
            <w:shd w:val="clear" w:color="auto" w:fill="auto"/>
            <w:vAlign w:val="center"/>
          </w:tcPr>
          <w:p w14:paraId="0E944901"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69C169C7"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764A1350" w14:textId="77777777" w:rsidTr="009E0DC5">
        <w:trPr>
          <w:trHeight w:val="550"/>
        </w:trPr>
        <w:tc>
          <w:tcPr>
            <w:tcW w:w="4640" w:type="dxa"/>
            <w:shd w:val="clear" w:color="auto" w:fill="auto"/>
            <w:vAlign w:val="center"/>
          </w:tcPr>
          <w:p w14:paraId="7D6551F0" w14:textId="77777777" w:rsidR="005D05B4" w:rsidRPr="005D05B4" w:rsidRDefault="005D05B4" w:rsidP="005D05B4">
            <w:pPr>
              <w:rPr>
                <w:rFonts w:ascii="Tahoma" w:hAnsi="Tahoma" w:cs="Tahoma"/>
                <w:szCs w:val="20"/>
              </w:rPr>
            </w:pPr>
            <w:r w:rsidRPr="005D05B4">
              <w:rPr>
                <w:rFonts w:ascii="Tahoma" w:hAnsi="Tahoma" w:cs="Tahoma"/>
                <w:szCs w:val="20"/>
              </w:rPr>
              <w:t>Dioptrická úprava v min. rozmezí -5 až +5</w:t>
            </w:r>
          </w:p>
        </w:tc>
        <w:tc>
          <w:tcPr>
            <w:tcW w:w="1203" w:type="dxa"/>
            <w:shd w:val="clear" w:color="auto" w:fill="auto"/>
            <w:vAlign w:val="center"/>
          </w:tcPr>
          <w:p w14:paraId="330553E8"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6E70BE86"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584F413B" w14:textId="77777777" w:rsidTr="009E0DC5">
        <w:trPr>
          <w:trHeight w:val="696"/>
        </w:trPr>
        <w:tc>
          <w:tcPr>
            <w:tcW w:w="4640" w:type="dxa"/>
            <w:shd w:val="clear" w:color="auto" w:fill="auto"/>
            <w:vAlign w:val="center"/>
          </w:tcPr>
          <w:p w14:paraId="12D3CEFD" w14:textId="77777777" w:rsidR="005D05B4" w:rsidRPr="005D05B4" w:rsidRDefault="005D05B4" w:rsidP="005D05B4">
            <w:pPr>
              <w:rPr>
                <w:rFonts w:ascii="Tahoma" w:hAnsi="Tahoma" w:cs="Tahoma"/>
                <w:szCs w:val="20"/>
              </w:rPr>
            </w:pPr>
            <w:r w:rsidRPr="005D05B4">
              <w:rPr>
                <w:rFonts w:ascii="Tahoma" w:hAnsi="Tahoma" w:cs="Tahoma"/>
                <w:szCs w:val="20"/>
              </w:rPr>
              <w:t xml:space="preserve">Pracovní (ohnisková) vzdálenost měnitelná pomocí variabilního objektivu v rozmezí minimálně </w:t>
            </w:r>
            <w:proofErr w:type="gramStart"/>
            <w:r w:rsidRPr="005D05B4">
              <w:rPr>
                <w:rFonts w:ascii="Tahoma" w:hAnsi="Tahoma" w:cs="Tahoma"/>
                <w:szCs w:val="20"/>
              </w:rPr>
              <w:t>280 – 430</w:t>
            </w:r>
            <w:proofErr w:type="gramEnd"/>
            <w:r w:rsidRPr="005D05B4">
              <w:rPr>
                <w:rFonts w:ascii="Tahoma" w:hAnsi="Tahoma" w:cs="Tahoma"/>
                <w:szCs w:val="20"/>
              </w:rPr>
              <w:t xml:space="preserve"> mm.</w:t>
            </w:r>
          </w:p>
        </w:tc>
        <w:tc>
          <w:tcPr>
            <w:tcW w:w="1203" w:type="dxa"/>
            <w:shd w:val="clear" w:color="auto" w:fill="auto"/>
            <w:vAlign w:val="center"/>
          </w:tcPr>
          <w:p w14:paraId="62B87B2D"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5A5A612F"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0476ACDA" w14:textId="77777777" w:rsidTr="009E0DC5">
        <w:trPr>
          <w:trHeight w:val="696"/>
        </w:trPr>
        <w:tc>
          <w:tcPr>
            <w:tcW w:w="4640" w:type="dxa"/>
            <w:shd w:val="clear" w:color="auto" w:fill="auto"/>
            <w:vAlign w:val="center"/>
          </w:tcPr>
          <w:p w14:paraId="7386699E" w14:textId="77777777" w:rsidR="005D05B4" w:rsidRPr="005D05B4" w:rsidRDefault="005D05B4" w:rsidP="005D05B4">
            <w:pPr>
              <w:rPr>
                <w:rFonts w:ascii="Tahoma" w:hAnsi="Tahoma" w:cs="Tahoma"/>
                <w:szCs w:val="20"/>
              </w:rPr>
            </w:pPr>
            <w:r w:rsidRPr="005D05B4">
              <w:rPr>
                <w:rFonts w:ascii="Tahoma" w:hAnsi="Tahoma" w:cs="Tahoma"/>
                <w:szCs w:val="20"/>
              </w:rPr>
              <w:t>Integrovaný LED světelný zdroj s možností regulace intenzity světla</w:t>
            </w:r>
          </w:p>
        </w:tc>
        <w:tc>
          <w:tcPr>
            <w:tcW w:w="1203" w:type="dxa"/>
            <w:shd w:val="clear" w:color="auto" w:fill="auto"/>
            <w:vAlign w:val="center"/>
          </w:tcPr>
          <w:p w14:paraId="068ED5E7"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30B0AA01"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6CDC02FC" w14:textId="77777777" w:rsidTr="009E0DC5">
        <w:trPr>
          <w:trHeight w:val="696"/>
        </w:trPr>
        <w:tc>
          <w:tcPr>
            <w:tcW w:w="4640" w:type="dxa"/>
            <w:shd w:val="clear" w:color="auto" w:fill="auto"/>
            <w:vAlign w:val="center"/>
          </w:tcPr>
          <w:p w14:paraId="57D1DB6B" w14:textId="77777777" w:rsidR="005D05B4" w:rsidRPr="005D05B4" w:rsidRDefault="005D05B4" w:rsidP="005D05B4">
            <w:pPr>
              <w:rPr>
                <w:rFonts w:ascii="Tahoma" w:hAnsi="Tahoma" w:cs="Tahoma"/>
                <w:szCs w:val="20"/>
              </w:rPr>
            </w:pPr>
            <w:r w:rsidRPr="005D05B4">
              <w:rPr>
                <w:rFonts w:ascii="Tahoma" w:hAnsi="Tahoma" w:cs="Tahoma"/>
                <w:szCs w:val="20"/>
              </w:rPr>
              <w:t>Zdroj světla součástí polohovacího ramene</w:t>
            </w:r>
          </w:p>
        </w:tc>
        <w:tc>
          <w:tcPr>
            <w:tcW w:w="1203" w:type="dxa"/>
            <w:shd w:val="clear" w:color="auto" w:fill="auto"/>
            <w:vAlign w:val="center"/>
          </w:tcPr>
          <w:p w14:paraId="28DB88DD"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091E5CD5"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0F855CA4" w14:textId="77777777" w:rsidTr="009E0DC5">
        <w:trPr>
          <w:trHeight w:val="548"/>
        </w:trPr>
        <w:tc>
          <w:tcPr>
            <w:tcW w:w="4640" w:type="dxa"/>
            <w:shd w:val="clear" w:color="auto" w:fill="auto"/>
            <w:vAlign w:val="center"/>
          </w:tcPr>
          <w:p w14:paraId="4F6B72CF" w14:textId="77777777" w:rsidR="005D05B4" w:rsidRPr="005D05B4" w:rsidRDefault="005D05B4" w:rsidP="005D05B4">
            <w:pPr>
              <w:rPr>
                <w:rFonts w:ascii="Tahoma" w:hAnsi="Tahoma" w:cs="Tahoma"/>
                <w:szCs w:val="20"/>
              </w:rPr>
            </w:pPr>
            <w:r w:rsidRPr="005D05B4">
              <w:rPr>
                <w:rFonts w:ascii="Tahoma" w:hAnsi="Tahoma" w:cs="Tahoma"/>
                <w:szCs w:val="20"/>
              </w:rPr>
              <w:t>Nastavitelný zelený filtr, modrý filtr a polarizační filtr</w:t>
            </w:r>
          </w:p>
        </w:tc>
        <w:tc>
          <w:tcPr>
            <w:tcW w:w="1203" w:type="dxa"/>
            <w:shd w:val="clear" w:color="auto" w:fill="auto"/>
            <w:vAlign w:val="center"/>
          </w:tcPr>
          <w:p w14:paraId="68205360"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3B2B8475"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55B3DF89" w14:textId="77777777" w:rsidTr="009E0DC5">
        <w:trPr>
          <w:trHeight w:val="603"/>
        </w:trPr>
        <w:tc>
          <w:tcPr>
            <w:tcW w:w="4640" w:type="dxa"/>
            <w:shd w:val="clear" w:color="auto" w:fill="auto"/>
            <w:vAlign w:val="center"/>
          </w:tcPr>
          <w:p w14:paraId="0A3FB4C8" w14:textId="77777777" w:rsidR="005D05B4" w:rsidRPr="005D05B4" w:rsidRDefault="005D05B4" w:rsidP="005D05B4">
            <w:pPr>
              <w:rPr>
                <w:rFonts w:ascii="Tahoma" w:hAnsi="Tahoma" w:cs="Tahoma"/>
                <w:szCs w:val="20"/>
              </w:rPr>
            </w:pPr>
            <w:r w:rsidRPr="005D05B4">
              <w:rPr>
                <w:rFonts w:ascii="Tahoma" w:hAnsi="Tahoma" w:cs="Tahoma"/>
                <w:szCs w:val="20"/>
              </w:rPr>
              <w:t>Měnitelné zvětšení minimálně v 5 krocích a v rozsahu min. 4x – 16x</w:t>
            </w:r>
          </w:p>
        </w:tc>
        <w:tc>
          <w:tcPr>
            <w:tcW w:w="1203" w:type="dxa"/>
            <w:shd w:val="clear" w:color="auto" w:fill="auto"/>
            <w:vAlign w:val="center"/>
          </w:tcPr>
          <w:p w14:paraId="49070EC8"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2ECEFC5A"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5CD698A8" w14:textId="77777777" w:rsidTr="009E0DC5">
        <w:trPr>
          <w:trHeight w:val="538"/>
        </w:trPr>
        <w:tc>
          <w:tcPr>
            <w:tcW w:w="4640" w:type="dxa"/>
            <w:shd w:val="clear" w:color="auto" w:fill="auto"/>
            <w:vAlign w:val="center"/>
          </w:tcPr>
          <w:p w14:paraId="7093789D" w14:textId="77777777" w:rsidR="005D05B4" w:rsidRPr="005D05B4" w:rsidRDefault="005D05B4" w:rsidP="005D05B4">
            <w:pPr>
              <w:rPr>
                <w:rFonts w:ascii="Tahoma" w:hAnsi="Tahoma" w:cs="Tahoma"/>
                <w:szCs w:val="20"/>
              </w:rPr>
            </w:pPr>
            <w:r w:rsidRPr="005D05B4">
              <w:rPr>
                <w:rFonts w:ascii="Tahoma" w:hAnsi="Tahoma" w:cs="Tahoma"/>
                <w:szCs w:val="20"/>
              </w:rPr>
              <w:t>Binokulární systém se samostatným optickým kanálem</w:t>
            </w:r>
          </w:p>
        </w:tc>
        <w:tc>
          <w:tcPr>
            <w:tcW w:w="1203" w:type="dxa"/>
            <w:shd w:val="clear" w:color="auto" w:fill="auto"/>
            <w:vAlign w:val="center"/>
          </w:tcPr>
          <w:p w14:paraId="648703D0"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2AAA283E"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6DD32F93" w14:textId="77777777" w:rsidTr="009E0DC5">
        <w:trPr>
          <w:trHeight w:val="538"/>
        </w:trPr>
        <w:tc>
          <w:tcPr>
            <w:tcW w:w="4640" w:type="dxa"/>
            <w:shd w:val="clear" w:color="auto" w:fill="auto"/>
            <w:vAlign w:val="center"/>
          </w:tcPr>
          <w:p w14:paraId="2FAB3F79" w14:textId="77777777" w:rsidR="005D05B4" w:rsidRPr="005D05B4" w:rsidRDefault="005D05B4" w:rsidP="005D05B4">
            <w:pPr>
              <w:rPr>
                <w:rFonts w:ascii="Tahoma" w:hAnsi="Tahoma" w:cs="Tahoma"/>
                <w:szCs w:val="20"/>
              </w:rPr>
            </w:pPr>
            <w:r w:rsidRPr="005D05B4">
              <w:rPr>
                <w:rFonts w:ascii="Tahoma" w:hAnsi="Tahoma" w:cs="Tahoma"/>
                <w:szCs w:val="20"/>
              </w:rPr>
              <w:lastRenderedPageBreak/>
              <w:t>Binokulární tubus lomený</w:t>
            </w:r>
          </w:p>
        </w:tc>
        <w:tc>
          <w:tcPr>
            <w:tcW w:w="1203" w:type="dxa"/>
            <w:shd w:val="clear" w:color="auto" w:fill="auto"/>
            <w:vAlign w:val="center"/>
          </w:tcPr>
          <w:p w14:paraId="57AEC1A6"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6647DC16"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08A6F7FA" w14:textId="77777777" w:rsidTr="009E0DC5">
        <w:trPr>
          <w:trHeight w:val="538"/>
        </w:trPr>
        <w:tc>
          <w:tcPr>
            <w:tcW w:w="4640" w:type="dxa"/>
            <w:shd w:val="clear" w:color="auto" w:fill="auto"/>
            <w:vAlign w:val="center"/>
          </w:tcPr>
          <w:p w14:paraId="59D516B5" w14:textId="77777777" w:rsidR="005D05B4" w:rsidRPr="005D05B4" w:rsidRDefault="005D05B4" w:rsidP="005D05B4">
            <w:pPr>
              <w:rPr>
                <w:rFonts w:ascii="Tahoma" w:hAnsi="Tahoma" w:cs="Tahoma"/>
                <w:szCs w:val="20"/>
              </w:rPr>
            </w:pPr>
            <w:r w:rsidRPr="005D05B4">
              <w:rPr>
                <w:rFonts w:ascii="Tahoma" w:hAnsi="Tahoma" w:cs="Tahoma"/>
                <w:szCs w:val="20"/>
              </w:rPr>
              <w:t>Mobilní, stabilní stojan s </w:t>
            </w:r>
            <w:proofErr w:type="spellStart"/>
            <w:r w:rsidRPr="005D05B4">
              <w:rPr>
                <w:rFonts w:ascii="Tahoma" w:hAnsi="Tahoma" w:cs="Tahoma"/>
                <w:szCs w:val="20"/>
              </w:rPr>
              <w:t>brzditelnými</w:t>
            </w:r>
            <w:proofErr w:type="spellEnd"/>
            <w:r w:rsidRPr="005D05B4">
              <w:rPr>
                <w:rFonts w:ascii="Tahoma" w:hAnsi="Tahoma" w:cs="Tahoma"/>
                <w:szCs w:val="20"/>
              </w:rPr>
              <w:t xml:space="preserve"> kolečky pro celou soustavu součástí dodávky</w:t>
            </w:r>
          </w:p>
        </w:tc>
        <w:tc>
          <w:tcPr>
            <w:tcW w:w="1203" w:type="dxa"/>
            <w:shd w:val="clear" w:color="auto" w:fill="auto"/>
            <w:vAlign w:val="center"/>
          </w:tcPr>
          <w:p w14:paraId="5ED504C7"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2D253D21"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5806D146" w14:textId="77777777" w:rsidTr="009E0DC5">
        <w:trPr>
          <w:trHeight w:val="538"/>
        </w:trPr>
        <w:tc>
          <w:tcPr>
            <w:tcW w:w="4640" w:type="dxa"/>
            <w:shd w:val="clear" w:color="auto" w:fill="auto"/>
            <w:vAlign w:val="center"/>
          </w:tcPr>
          <w:p w14:paraId="0883F542" w14:textId="77777777" w:rsidR="005D05B4" w:rsidRPr="005D05B4" w:rsidRDefault="005D05B4" w:rsidP="005D05B4">
            <w:pPr>
              <w:rPr>
                <w:rFonts w:ascii="Tahoma" w:hAnsi="Tahoma" w:cs="Tahoma"/>
                <w:szCs w:val="20"/>
              </w:rPr>
            </w:pPr>
            <w:r w:rsidRPr="005D05B4">
              <w:rPr>
                <w:rFonts w:ascii="Tahoma" w:hAnsi="Tahoma" w:cs="Tahoma"/>
                <w:szCs w:val="20"/>
              </w:rPr>
              <w:t>Kolposkop umístěn na pohyblivém rameni stojanu, tichý a hladký pohyb</w:t>
            </w:r>
          </w:p>
        </w:tc>
        <w:tc>
          <w:tcPr>
            <w:tcW w:w="1203" w:type="dxa"/>
            <w:shd w:val="clear" w:color="auto" w:fill="auto"/>
            <w:vAlign w:val="center"/>
          </w:tcPr>
          <w:p w14:paraId="4964AABC"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35F6CC42"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068F516A" w14:textId="77777777" w:rsidTr="009E0DC5">
        <w:tc>
          <w:tcPr>
            <w:tcW w:w="4640" w:type="dxa"/>
            <w:shd w:val="clear" w:color="auto" w:fill="auto"/>
            <w:vAlign w:val="center"/>
          </w:tcPr>
          <w:p w14:paraId="18974758" w14:textId="77777777" w:rsidR="005D05B4" w:rsidRPr="005D05B4" w:rsidRDefault="005D05B4" w:rsidP="005D05B4">
            <w:pPr>
              <w:rPr>
                <w:rFonts w:ascii="Tahoma" w:hAnsi="Tahoma" w:cs="Tahoma"/>
                <w:szCs w:val="20"/>
              </w:rPr>
            </w:pPr>
            <w:r w:rsidRPr="005D05B4">
              <w:rPr>
                <w:rFonts w:ascii="Tahoma" w:hAnsi="Tahoma" w:cs="Tahoma"/>
                <w:szCs w:val="20"/>
              </w:rPr>
              <w:t xml:space="preserve">Vyvážené polohovací rameno k nastavení pozice hlavy ve třech </w:t>
            </w:r>
            <w:proofErr w:type="gramStart"/>
            <w:r w:rsidRPr="005D05B4">
              <w:rPr>
                <w:rFonts w:ascii="Tahoma" w:hAnsi="Tahoma" w:cs="Tahoma"/>
                <w:szCs w:val="20"/>
              </w:rPr>
              <w:t>rovinách - rádius</w:t>
            </w:r>
            <w:proofErr w:type="gramEnd"/>
            <w:r w:rsidRPr="005D05B4">
              <w:rPr>
                <w:rFonts w:ascii="Tahoma" w:hAnsi="Tahoma" w:cs="Tahoma"/>
                <w:szCs w:val="20"/>
              </w:rPr>
              <w:t xml:space="preserve"> minimálně 50 cm</w:t>
            </w:r>
          </w:p>
        </w:tc>
        <w:tc>
          <w:tcPr>
            <w:tcW w:w="1203" w:type="dxa"/>
            <w:shd w:val="clear" w:color="auto" w:fill="auto"/>
            <w:vAlign w:val="center"/>
          </w:tcPr>
          <w:p w14:paraId="7E98B76F"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43C20D91"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4EAE72A7" w14:textId="77777777" w:rsidTr="009E0DC5">
        <w:tc>
          <w:tcPr>
            <w:tcW w:w="4640" w:type="dxa"/>
            <w:shd w:val="clear" w:color="auto" w:fill="auto"/>
            <w:vAlign w:val="center"/>
          </w:tcPr>
          <w:p w14:paraId="43330BE6" w14:textId="77777777" w:rsidR="005D05B4" w:rsidRPr="005D05B4" w:rsidRDefault="005D05B4" w:rsidP="005D05B4">
            <w:pPr>
              <w:rPr>
                <w:rFonts w:ascii="Tahoma" w:hAnsi="Tahoma" w:cs="Tahoma"/>
                <w:szCs w:val="20"/>
              </w:rPr>
            </w:pPr>
            <w:r w:rsidRPr="005D05B4">
              <w:rPr>
                <w:rFonts w:ascii="Tahoma" w:hAnsi="Tahoma" w:cs="Tahoma"/>
                <w:szCs w:val="20"/>
              </w:rPr>
              <w:t>Ergonomická rukojeť pro polohování hlavy kolposkopu</w:t>
            </w:r>
          </w:p>
        </w:tc>
        <w:tc>
          <w:tcPr>
            <w:tcW w:w="1203" w:type="dxa"/>
            <w:shd w:val="clear" w:color="auto" w:fill="auto"/>
            <w:vAlign w:val="center"/>
          </w:tcPr>
          <w:p w14:paraId="185C5FD5"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2AD529B9"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595491ED" w14:textId="77777777" w:rsidTr="009E0DC5">
        <w:tc>
          <w:tcPr>
            <w:tcW w:w="4640" w:type="dxa"/>
            <w:shd w:val="clear" w:color="auto" w:fill="auto"/>
            <w:vAlign w:val="center"/>
          </w:tcPr>
          <w:p w14:paraId="15713F58" w14:textId="77777777" w:rsidR="005D05B4" w:rsidRPr="005D05B4" w:rsidRDefault="005D05B4" w:rsidP="005D05B4">
            <w:pPr>
              <w:rPr>
                <w:rFonts w:ascii="Tahoma" w:hAnsi="Tahoma" w:cs="Tahoma"/>
                <w:szCs w:val="20"/>
              </w:rPr>
            </w:pPr>
            <w:r w:rsidRPr="005D05B4">
              <w:rPr>
                <w:rFonts w:ascii="Tahoma" w:hAnsi="Tahoma" w:cs="Tahoma"/>
                <w:szCs w:val="20"/>
              </w:rPr>
              <w:t>Integrovaná kamera do těla kolposkopu s výstupní videosignálem s rozlišením minimálně 1920x1080 pixelů</w:t>
            </w:r>
          </w:p>
        </w:tc>
        <w:tc>
          <w:tcPr>
            <w:tcW w:w="1203" w:type="dxa"/>
            <w:shd w:val="clear" w:color="auto" w:fill="auto"/>
            <w:vAlign w:val="center"/>
          </w:tcPr>
          <w:p w14:paraId="3497E22B"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41CC653C"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78489061" w14:textId="77777777" w:rsidTr="009E0DC5">
        <w:tc>
          <w:tcPr>
            <w:tcW w:w="4640" w:type="dxa"/>
            <w:shd w:val="clear" w:color="auto" w:fill="auto"/>
            <w:vAlign w:val="center"/>
          </w:tcPr>
          <w:p w14:paraId="1C6F16DA" w14:textId="77777777" w:rsidR="005D05B4" w:rsidRPr="005D05B4" w:rsidRDefault="005D05B4" w:rsidP="005D05B4">
            <w:pPr>
              <w:rPr>
                <w:rFonts w:ascii="Tahoma" w:hAnsi="Tahoma" w:cs="Tahoma"/>
                <w:szCs w:val="20"/>
              </w:rPr>
            </w:pPr>
            <w:r w:rsidRPr="005D05B4">
              <w:rPr>
                <w:rFonts w:ascii="Tahoma" w:eastAsiaTheme="minorHAnsi" w:hAnsi="Tahoma" w:cs="Tahoma"/>
                <w:b/>
                <w:szCs w:val="20"/>
                <w:lang w:eastAsia="en-US"/>
              </w:rPr>
              <w:t>Kompaktní nahrávací zařízení</w:t>
            </w:r>
            <w:r w:rsidRPr="005D05B4">
              <w:rPr>
                <w:rFonts w:ascii="Tahoma" w:hAnsi="Tahoma" w:cs="Tahoma"/>
                <w:szCs w:val="20"/>
              </w:rPr>
              <w:t xml:space="preserve"> </w:t>
            </w:r>
          </w:p>
          <w:p w14:paraId="6CCC764B" w14:textId="77777777" w:rsidR="005D05B4" w:rsidRPr="005D05B4" w:rsidRDefault="005D05B4" w:rsidP="005D05B4">
            <w:pPr>
              <w:numPr>
                <w:ilvl w:val="0"/>
                <w:numId w:val="11"/>
              </w:numPr>
              <w:contextualSpacing/>
              <w:rPr>
                <w:rFonts w:ascii="Tahoma" w:eastAsiaTheme="minorHAnsi" w:hAnsi="Tahoma" w:cs="Tahoma"/>
                <w:b/>
                <w:szCs w:val="20"/>
                <w:lang w:eastAsia="en-US"/>
              </w:rPr>
            </w:pPr>
            <w:r w:rsidRPr="005D05B4">
              <w:rPr>
                <w:rFonts w:ascii="Tahoma" w:hAnsi="Tahoma" w:cs="Tahoma"/>
                <w:szCs w:val="20"/>
              </w:rPr>
              <w:t>Vstup videosignálu pro napojení kamery kolposkopu</w:t>
            </w:r>
          </w:p>
        </w:tc>
        <w:tc>
          <w:tcPr>
            <w:tcW w:w="1203" w:type="dxa"/>
            <w:shd w:val="clear" w:color="auto" w:fill="auto"/>
            <w:vAlign w:val="center"/>
          </w:tcPr>
          <w:p w14:paraId="7AE317EC"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7519C286"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787170D3" w14:textId="77777777" w:rsidTr="009E0DC5">
        <w:tc>
          <w:tcPr>
            <w:tcW w:w="4640" w:type="dxa"/>
            <w:shd w:val="clear" w:color="auto" w:fill="auto"/>
            <w:vAlign w:val="center"/>
          </w:tcPr>
          <w:p w14:paraId="12D7C344" w14:textId="77777777" w:rsidR="005D05B4" w:rsidRPr="005D05B4" w:rsidRDefault="005D05B4" w:rsidP="005D05B4">
            <w:pPr>
              <w:numPr>
                <w:ilvl w:val="0"/>
                <w:numId w:val="11"/>
              </w:numPr>
              <w:contextualSpacing/>
              <w:rPr>
                <w:rFonts w:ascii="Tahoma" w:eastAsiaTheme="minorHAnsi" w:hAnsi="Tahoma" w:cs="Tahoma"/>
                <w:b/>
                <w:szCs w:val="20"/>
                <w:lang w:eastAsia="en-US"/>
              </w:rPr>
            </w:pPr>
            <w:r w:rsidRPr="005D05B4">
              <w:rPr>
                <w:rFonts w:ascii="Tahoma" w:hAnsi="Tahoma" w:cs="Tahoma"/>
                <w:szCs w:val="20"/>
              </w:rPr>
              <w:t xml:space="preserve">Nahrávání fotografií a videa v rozlišení minimálně </w:t>
            </w:r>
            <w:proofErr w:type="gramStart"/>
            <w:r w:rsidRPr="005D05B4">
              <w:rPr>
                <w:rFonts w:ascii="Tahoma" w:hAnsi="Tahoma" w:cs="Tahoma"/>
                <w:szCs w:val="20"/>
              </w:rPr>
              <w:t>1080p</w:t>
            </w:r>
            <w:proofErr w:type="gramEnd"/>
          </w:p>
        </w:tc>
        <w:tc>
          <w:tcPr>
            <w:tcW w:w="1203" w:type="dxa"/>
            <w:shd w:val="clear" w:color="auto" w:fill="auto"/>
            <w:vAlign w:val="center"/>
          </w:tcPr>
          <w:p w14:paraId="7A6ABC13"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6BBE23D4"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03081A94" w14:textId="77777777" w:rsidTr="009E0DC5">
        <w:tc>
          <w:tcPr>
            <w:tcW w:w="4640" w:type="dxa"/>
            <w:shd w:val="clear" w:color="auto" w:fill="auto"/>
            <w:vAlign w:val="center"/>
          </w:tcPr>
          <w:p w14:paraId="330255C0" w14:textId="77777777" w:rsidR="005D05B4" w:rsidRPr="005D05B4" w:rsidRDefault="005D05B4" w:rsidP="005D05B4">
            <w:pPr>
              <w:numPr>
                <w:ilvl w:val="0"/>
                <w:numId w:val="11"/>
              </w:numPr>
              <w:contextualSpacing/>
              <w:rPr>
                <w:rFonts w:ascii="Tahoma" w:eastAsiaTheme="minorHAnsi" w:hAnsi="Tahoma" w:cs="Tahoma"/>
                <w:b/>
                <w:szCs w:val="20"/>
                <w:lang w:eastAsia="en-US"/>
              </w:rPr>
            </w:pPr>
            <w:r w:rsidRPr="005D05B4">
              <w:rPr>
                <w:rFonts w:ascii="Tahoma" w:hAnsi="Tahoma" w:cs="Tahoma"/>
                <w:szCs w:val="20"/>
              </w:rPr>
              <w:t>Nahrávání musí být možné na externí USB flashdisk</w:t>
            </w:r>
          </w:p>
        </w:tc>
        <w:tc>
          <w:tcPr>
            <w:tcW w:w="1203" w:type="dxa"/>
            <w:shd w:val="clear" w:color="auto" w:fill="auto"/>
            <w:vAlign w:val="center"/>
          </w:tcPr>
          <w:p w14:paraId="7BA06D67"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549213A2"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4561467C" w14:textId="77777777" w:rsidTr="009E0DC5">
        <w:trPr>
          <w:trHeight w:val="522"/>
        </w:trPr>
        <w:tc>
          <w:tcPr>
            <w:tcW w:w="4640" w:type="dxa"/>
            <w:shd w:val="clear" w:color="auto" w:fill="auto"/>
            <w:vAlign w:val="center"/>
          </w:tcPr>
          <w:p w14:paraId="68F04261" w14:textId="77777777" w:rsidR="005D05B4" w:rsidRPr="005D05B4" w:rsidRDefault="005D05B4" w:rsidP="005D05B4">
            <w:pPr>
              <w:numPr>
                <w:ilvl w:val="0"/>
                <w:numId w:val="11"/>
              </w:numPr>
              <w:contextualSpacing/>
              <w:rPr>
                <w:rFonts w:ascii="Tahoma" w:hAnsi="Tahoma" w:cs="Tahoma"/>
                <w:szCs w:val="20"/>
              </w:rPr>
            </w:pPr>
            <w:r w:rsidRPr="005D05B4">
              <w:rPr>
                <w:rFonts w:ascii="Tahoma" w:hAnsi="Tahoma" w:cs="Tahoma"/>
                <w:szCs w:val="20"/>
              </w:rPr>
              <w:t>Záznamy ve formátech spustitelných v počítači</w:t>
            </w:r>
          </w:p>
        </w:tc>
        <w:tc>
          <w:tcPr>
            <w:tcW w:w="1203" w:type="dxa"/>
            <w:shd w:val="clear" w:color="auto" w:fill="auto"/>
            <w:vAlign w:val="center"/>
          </w:tcPr>
          <w:p w14:paraId="642F804B"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0D59B429"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06326413" w14:textId="77777777" w:rsidTr="009E0DC5">
        <w:tc>
          <w:tcPr>
            <w:tcW w:w="4640" w:type="dxa"/>
            <w:shd w:val="clear" w:color="auto" w:fill="auto"/>
            <w:vAlign w:val="center"/>
          </w:tcPr>
          <w:p w14:paraId="3FD9E8BA" w14:textId="77777777" w:rsidR="005D05B4" w:rsidRPr="005D05B4" w:rsidRDefault="005D05B4" w:rsidP="005D05B4">
            <w:pPr>
              <w:numPr>
                <w:ilvl w:val="0"/>
                <w:numId w:val="11"/>
              </w:numPr>
              <w:spacing w:after="200" w:line="276" w:lineRule="auto"/>
              <w:contextualSpacing/>
              <w:rPr>
                <w:rFonts w:ascii="Tahoma" w:hAnsi="Tahoma" w:cs="Tahoma"/>
                <w:szCs w:val="20"/>
              </w:rPr>
            </w:pPr>
            <w:r w:rsidRPr="005D05B4">
              <w:rPr>
                <w:rFonts w:ascii="Tahoma" w:hAnsi="Tahoma" w:cs="Tahoma"/>
                <w:szCs w:val="20"/>
              </w:rPr>
              <w:t>Minimálně 2x USB rozhraní</w:t>
            </w:r>
          </w:p>
        </w:tc>
        <w:tc>
          <w:tcPr>
            <w:tcW w:w="1203" w:type="dxa"/>
            <w:shd w:val="clear" w:color="auto" w:fill="auto"/>
            <w:vAlign w:val="center"/>
          </w:tcPr>
          <w:p w14:paraId="25C1EDB5"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1BC8ECD5"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722612F3" w14:textId="77777777" w:rsidTr="009E0DC5">
        <w:tc>
          <w:tcPr>
            <w:tcW w:w="4640" w:type="dxa"/>
            <w:shd w:val="clear" w:color="auto" w:fill="auto"/>
            <w:vAlign w:val="center"/>
          </w:tcPr>
          <w:p w14:paraId="5635E553" w14:textId="77777777" w:rsidR="005D05B4" w:rsidRPr="005D05B4" w:rsidRDefault="005D05B4" w:rsidP="005D05B4">
            <w:pPr>
              <w:numPr>
                <w:ilvl w:val="0"/>
                <w:numId w:val="11"/>
              </w:numPr>
              <w:spacing w:after="200" w:line="276" w:lineRule="auto"/>
              <w:contextualSpacing/>
              <w:rPr>
                <w:rFonts w:ascii="Tahoma" w:hAnsi="Tahoma" w:cs="Tahoma"/>
                <w:szCs w:val="20"/>
              </w:rPr>
            </w:pPr>
            <w:r w:rsidRPr="005D05B4">
              <w:rPr>
                <w:rFonts w:ascii="Tahoma" w:hAnsi="Tahoma" w:cs="Tahoma"/>
                <w:szCs w:val="20"/>
              </w:rPr>
              <w:t>Možnost ukládání fotografií a videa přímo do PC pomocí nožní šlapky</w:t>
            </w:r>
          </w:p>
        </w:tc>
        <w:tc>
          <w:tcPr>
            <w:tcW w:w="1203" w:type="dxa"/>
            <w:shd w:val="clear" w:color="auto" w:fill="auto"/>
            <w:vAlign w:val="center"/>
          </w:tcPr>
          <w:p w14:paraId="6CAB725F" w14:textId="77777777" w:rsidR="005D05B4" w:rsidRPr="005D05B4" w:rsidRDefault="005D05B4" w:rsidP="005D05B4">
            <w:pPr>
              <w:jc w:val="center"/>
              <w:rPr>
                <w:rFonts w:ascii="Tahoma" w:hAnsi="Tahoma" w:cs="Tahoma"/>
                <w:b/>
                <w:bCs/>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084FA2D2"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tr w:rsidR="005D05B4" w:rsidRPr="005D05B4" w14:paraId="0351C498" w14:textId="77777777" w:rsidTr="009E0DC5">
        <w:trPr>
          <w:trHeight w:val="679"/>
        </w:trPr>
        <w:tc>
          <w:tcPr>
            <w:tcW w:w="4640" w:type="dxa"/>
            <w:shd w:val="clear" w:color="auto" w:fill="auto"/>
            <w:vAlign w:val="center"/>
          </w:tcPr>
          <w:p w14:paraId="39B1EB1D" w14:textId="77777777" w:rsidR="005D05B4" w:rsidRPr="005D05B4" w:rsidRDefault="005D05B4" w:rsidP="005D05B4">
            <w:pPr>
              <w:numPr>
                <w:ilvl w:val="0"/>
                <w:numId w:val="11"/>
              </w:numPr>
              <w:spacing w:after="200" w:line="276" w:lineRule="auto"/>
              <w:contextualSpacing/>
              <w:rPr>
                <w:rFonts w:ascii="Tahoma" w:hAnsi="Tahoma" w:cs="Tahoma"/>
                <w:szCs w:val="20"/>
              </w:rPr>
            </w:pPr>
            <w:r w:rsidRPr="005D05B4">
              <w:rPr>
                <w:rFonts w:ascii="Tahoma" w:hAnsi="Tahoma" w:cs="Tahoma"/>
                <w:szCs w:val="20"/>
              </w:rPr>
              <w:t xml:space="preserve">LCD displej pro zobrazení záznamů o velikosti minimálně 27“ </w:t>
            </w:r>
          </w:p>
        </w:tc>
        <w:tc>
          <w:tcPr>
            <w:tcW w:w="1203" w:type="dxa"/>
            <w:shd w:val="clear" w:color="auto" w:fill="auto"/>
            <w:vAlign w:val="center"/>
          </w:tcPr>
          <w:p w14:paraId="799594AB"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c>
          <w:tcPr>
            <w:tcW w:w="3790" w:type="dxa"/>
            <w:shd w:val="clear" w:color="auto" w:fill="auto"/>
            <w:vAlign w:val="center"/>
          </w:tcPr>
          <w:p w14:paraId="7A755BDA" w14:textId="77777777" w:rsidR="005D05B4" w:rsidRPr="005D05B4" w:rsidRDefault="005D05B4" w:rsidP="005D05B4">
            <w:pPr>
              <w:jc w:val="center"/>
              <w:rPr>
                <w:rFonts w:ascii="Tahoma" w:hAnsi="Tahoma" w:cs="Tahoma"/>
                <w:color w:val="FF0000"/>
                <w:szCs w:val="20"/>
              </w:rPr>
            </w:pPr>
            <w:r w:rsidRPr="005D05B4">
              <w:rPr>
                <w:rFonts w:ascii="Tahoma" w:hAnsi="Tahoma" w:cs="Tahoma"/>
                <w:color w:val="FF0000"/>
                <w:szCs w:val="20"/>
              </w:rPr>
              <w:t>(doplní dodavatel)</w:t>
            </w:r>
          </w:p>
        </w:tc>
      </w:tr>
      <w:bookmarkEnd w:id="0"/>
    </w:tbl>
    <w:p w14:paraId="35ACF529" w14:textId="77777777" w:rsidR="006D4E7F" w:rsidRPr="00621075" w:rsidRDefault="006D4E7F" w:rsidP="00621075">
      <w:pPr>
        <w:rPr>
          <w:lang w:eastAsia="en-US"/>
        </w:rPr>
      </w:pPr>
    </w:p>
    <w:p w14:paraId="73242EB7" w14:textId="300284CD" w:rsidR="00C35ABF" w:rsidRDefault="008449BE" w:rsidP="00621075">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2046DEF5" w14:textId="77777777" w:rsidR="008449BE" w:rsidRPr="008449BE" w:rsidRDefault="008449BE" w:rsidP="008449BE">
      <w:pPr>
        <w:rPr>
          <w:lang w:eastAsia="en-US"/>
        </w:rPr>
      </w:pPr>
    </w:p>
    <w:sectPr w:rsidR="008449BE" w:rsidRPr="008449BE" w:rsidSect="0019557E">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22BD1BD5" w:rsidR="00937D5C" w:rsidRDefault="009E0DC5" w:rsidP="001B7696">
    <w:pPr>
      <w:pStyle w:val="Zhlav"/>
      <w:ind w:hanging="284"/>
      <w:jc w:val="both"/>
    </w:pPr>
    <w:r>
      <w:rPr>
        <w:noProof/>
      </w:rPr>
      <w:drawing>
        <wp:anchor distT="0" distB="0" distL="0" distR="0" simplePos="0" relativeHeight="4" behindDoc="1" locked="0" layoutInCell="1" allowOverlap="1" wp14:anchorId="3E38FC4B" wp14:editId="29C0BEEF">
          <wp:simplePos x="0" y="0"/>
          <wp:positionH relativeFrom="margin">
            <wp:align>right</wp:align>
          </wp:positionH>
          <wp:positionV relativeFrom="paragraph">
            <wp:posOffset>27305</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r w:rsidR="0019557E"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2600AB64">
          <wp:simplePos x="0" y="0"/>
          <wp:positionH relativeFrom="column">
            <wp:posOffset>118110</wp:posOffset>
          </wp:positionH>
          <wp:positionV relativeFrom="paragraph">
            <wp:posOffset>-79375</wp:posOffset>
          </wp:positionV>
          <wp:extent cx="2314575" cy="744220"/>
          <wp:effectExtent l="0" t="0" r="9525"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744220"/>
                  </a:xfrm>
                  <a:prstGeom prst="rect">
                    <a:avLst/>
                  </a:prstGeom>
                  <a:noFill/>
                  <a:ln>
                    <a:noFill/>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FB7BB5"/>
    <w:multiLevelType w:val="hybridMultilevel"/>
    <w:tmpl w:val="7C5EC978"/>
    <w:lvl w:ilvl="0" w:tplc="ECC2673E">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5"/>
  </w:num>
  <w:num w:numId="2" w16cid:durableId="983967553">
    <w:abstractNumId w:val="6"/>
  </w:num>
  <w:num w:numId="3" w16cid:durableId="202253826">
    <w:abstractNumId w:val="2"/>
  </w:num>
  <w:num w:numId="4" w16cid:durableId="1003703451">
    <w:abstractNumId w:val="3"/>
  </w:num>
  <w:num w:numId="5" w16cid:durableId="440733902">
    <w:abstractNumId w:val="8"/>
  </w:num>
  <w:num w:numId="6" w16cid:durableId="427196210">
    <w:abstractNumId w:val="1"/>
  </w:num>
  <w:num w:numId="7" w16cid:durableId="1428383018">
    <w:abstractNumId w:val="0"/>
  </w:num>
  <w:num w:numId="8" w16cid:durableId="1874802272">
    <w:abstractNumId w:val="10"/>
  </w:num>
  <w:num w:numId="9" w16cid:durableId="742918293">
    <w:abstractNumId w:val="9"/>
  </w:num>
  <w:num w:numId="10" w16cid:durableId="30694078">
    <w:abstractNumId w:val="7"/>
  </w:num>
  <w:num w:numId="11" w16cid:durableId="891966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C3F7C"/>
    <w:rsid w:val="00131022"/>
    <w:rsid w:val="00141F0B"/>
    <w:rsid w:val="001727BC"/>
    <w:rsid w:val="00195118"/>
    <w:rsid w:val="0019557E"/>
    <w:rsid w:val="001A6FFF"/>
    <w:rsid w:val="001B13B8"/>
    <w:rsid w:val="001B2C63"/>
    <w:rsid w:val="001B74A2"/>
    <w:rsid w:val="001B7696"/>
    <w:rsid w:val="00240005"/>
    <w:rsid w:val="00241AEE"/>
    <w:rsid w:val="00284EFD"/>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404BC9"/>
    <w:rsid w:val="00416A37"/>
    <w:rsid w:val="00417F3E"/>
    <w:rsid w:val="00460911"/>
    <w:rsid w:val="004F6602"/>
    <w:rsid w:val="005942D1"/>
    <w:rsid w:val="005D05B4"/>
    <w:rsid w:val="005E6E9E"/>
    <w:rsid w:val="005F2849"/>
    <w:rsid w:val="00621075"/>
    <w:rsid w:val="00642A61"/>
    <w:rsid w:val="00652493"/>
    <w:rsid w:val="00683F6B"/>
    <w:rsid w:val="006A2728"/>
    <w:rsid w:val="006D4E7F"/>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449BE"/>
    <w:rsid w:val="00865138"/>
    <w:rsid w:val="008939CC"/>
    <w:rsid w:val="008A14A5"/>
    <w:rsid w:val="008C15FC"/>
    <w:rsid w:val="008C5628"/>
    <w:rsid w:val="008E6418"/>
    <w:rsid w:val="008F087A"/>
    <w:rsid w:val="008F0E05"/>
    <w:rsid w:val="0092520C"/>
    <w:rsid w:val="00937D5C"/>
    <w:rsid w:val="00981C7B"/>
    <w:rsid w:val="009944A2"/>
    <w:rsid w:val="009A2FD0"/>
    <w:rsid w:val="009A46B9"/>
    <w:rsid w:val="009D26FE"/>
    <w:rsid w:val="009E0DC5"/>
    <w:rsid w:val="009F303B"/>
    <w:rsid w:val="00A016DC"/>
    <w:rsid w:val="00A061B8"/>
    <w:rsid w:val="00A11043"/>
    <w:rsid w:val="00A5608B"/>
    <w:rsid w:val="00A74924"/>
    <w:rsid w:val="00A903A4"/>
    <w:rsid w:val="00AA021E"/>
    <w:rsid w:val="00AA0655"/>
    <w:rsid w:val="00AC2932"/>
    <w:rsid w:val="00B07401"/>
    <w:rsid w:val="00B2490D"/>
    <w:rsid w:val="00B73B1A"/>
    <w:rsid w:val="00BA197F"/>
    <w:rsid w:val="00BA3702"/>
    <w:rsid w:val="00BA616F"/>
    <w:rsid w:val="00BC6AE7"/>
    <w:rsid w:val="00BF0D41"/>
    <w:rsid w:val="00BF54A8"/>
    <w:rsid w:val="00C35ABF"/>
    <w:rsid w:val="00C83A5B"/>
    <w:rsid w:val="00C86928"/>
    <w:rsid w:val="00CC0654"/>
    <w:rsid w:val="00CC693A"/>
    <w:rsid w:val="00CF14E6"/>
    <w:rsid w:val="00CF30CB"/>
    <w:rsid w:val="00CF6819"/>
    <w:rsid w:val="00D00F63"/>
    <w:rsid w:val="00D5775E"/>
    <w:rsid w:val="00D87C68"/>
    <w:rsid w:val="00DF5F73"/>
    <w:rsid w:val="00E7564E"/>
    <w:rsid w:val="00E94D7F"/>
    <w:rsid w:val="00EA7758"/>
    <w:rsid w:val="00EC00A9"/>
    <w:rsid w:val="00EC034F"/>
    <w:rsid w:val="00EC2248"/>
    <w:rsid w:val="00EE02CB"/>
    <w:rsid w:val="00F06D91"/>
    <w:rsid w:val="00F37546"/>
    <w:rsid w:val="00F67D5C"/>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483</Words>
  <Characters>2853</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10</cp:revision>
  <dcterms:created xsi:type="dcterms:W3CDTF">2024-03-13T09:55:00Z</dcterms:created>
  <dcterms:modified xsi:type="dcterms:W3CDTF">2024-06-05T05:47:00Z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